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C85C" w14:textId="0DD1CD30" w:rsidR="00B42001" w:rsidRDefault="00B42001" w:rsidP="00B42001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T.C.</w:t>
      </w:r>
    </w:p>
    <w:p w14:paraId="5EABFC6B" w14:textId="7585AC6D" w:rsidR="00B42001" w:rsidRDefault="00B42001" w:rsidP="00B42001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Aydın Adnan Menderes University</w:t>
      </w:r>
    </w:p>
    <w:p w14:paraId="43F35759" w14:textId="65C8AD44" w:rsidR="00B42001" w:rsidRPr="00B42001" w:rsidRDefault="00B42001" w:rsidP="00B42001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B42001">
        <w:rPr>
          <w:rFonts w:ascii="Calibri" w:hAnsi="Calibri" w:cs="Calibri"/>
          <w:b/>
          <w:bCs/>
          <w:sz w:val="32"/>
          <w:szCs w:val="32"/>
        </w:rPr>
        <w:t xml:space="preserve">Graduate School of Natural and Applied Sciences </w:t>
      </w:r>
    </w:p>
    <w:p w14:paraId="17BF81A8" w14:textId="77777777" w:rsidR="00B42001" w:rsidRDefault="00B42001" w:rsidP="00B4200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AB1A530" w14:textId="64A136C8" w:rsidR="00310778" w:rsidRPr="00B42001" w:rsidRDefault="00B42001" w:rsidP="00B4200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42001">
        <w:rPr>
          <w:rFonts w:ascii="Calibri" w:hAnsi="Calibri" w:cs="Calibri"/>
          <w:b/>
          <w:bCs/>
          <w:sz w:val="32"/>
          <w:szCs w:val="32"/>
        </w:rPr>
        <w:t>Quality Indicators Table</w:t>
      </w:r>
    </w:p>
    <w:tbl>
      <w:tblPr>
        <w:tblStyle w:val="KlavuzuTablo4-Vurgu1"/>
        <w:tblW w:w="0" w:type="auto"/>
        <w:tblLook w:val="06A0" w:firstRow="1" w:lastRow="0" w:firstColumn="1" w:lastColumn="0" w:noHBand="1" w:noVBand="1"/>
      </w:tblPr>
      <w:tblGrid>
        <w:gridCol w:w="2467"/>
        <w:gridCol w:w="4637"/>
        <w:gridCol w:w="1349"/>
        <w:gridCol w:w="1203"/>
        <w:gridCol w:w="2699"/>
        <w:gridCol w:w="1639"/>
      </w:tblGrid>
      <w:tr w:rsidR="00B42001" w:rsidRPr="00B42001" w14:paraId="6BFD873B" w14:textId="77777777" w:rsidTr="00B87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bottom"/>
            <w:hideMark/>
          </w:tcPr>
          <w:p w14:paraId="4A752FB0" w14:textId="77777777" w:rsidR="00B42001" w:rsidRPr="00B42001" w:rsidRDefault="00B42001" w:rsidP="00B87571">
            <w:pPr>
              <w:spacing w:after="160" w:line="278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42001">
              <w:rPr>
                <w:rFonts w:ascii="Calibri" w:hAnsi="Calibri" w:cs="Calibri"/>
                <w:sz w:val="28"/>
                <w:szCs w:val="28"/>
              </w:rPr>
              <w:t>Quality Policy Area</w:t>
            </w:r>
          </w:p>
        </w:tc>
        <w:tc>
          <w:tcPr>
            <w:tcW w:w="4637" w:type="dxa"/>
            <w:vAlign w:val="bottom"/>
            <w:hideMark/>
          </w:tcPr>
          <w:p w14:paraId="0CB34D28" w14:textId="77777777" w:rsidR="00B42001" w:rsidRPr="00B42001" w:rsidRDefault="00B42001" w:rsidP="00B87571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</w:rPr>
            </w:pPr>
            <w:r w:rsidRPr="00B42001">
              <w:rPr>
                <w:rFonts w:ascii="Calibri" w:hAnsi="Calibri" w:cs="Calibri"/>
                <w:sz w:val="28"/>
                <w:szCs w:val="28"/>
              </w:rPr>
              <w:t>Performance Indicator (PG)</w:t>
            </w:r>
          </w:p>
        </w:tc>
        <w:tc>
          <w:tcPr>
            <w:tcW w:w="1349" w:type="dxa"/>
            <w:vAlign w:val="bottom"/>
            <w:hideMark/>
          </w:tcPr>
          <w:p w14:paraId="55A39F51" w14:textId="77777777" w:rsidR="00B42001" w:rsidRPr="00B42001" w:rsidRDefault="00B42001" w:rsidP="00B87571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</w:rPr>
            </w:pPr>
            <w:r w:rsidRPr="00B42001">
              <w:rPr>
                <w:rFonts w:ascii="Calibri" w:hAnsi="Calibri" w:cs="Calibri"/>
                <w:sz w:val="28"/>
                <w:szCs w:val="28"/>
              </w:rPr>
              <w:t>2024 Starting Value</w:t>
            </w:r>
          </w:p>
        </w:tc>
        <w:tc>
          <w:tcPr>
            <w:tcW w:w="1203" w:type="dxa"/>
            <w:vAlign w:val="bottom"/>
            <w:hideMark/>
          </w:tcPr>
          <w:p w14:paraId="0123D194" w14:textId="77777777" w:rsidR="00B42001" w:rsidRPr="00B42001" w:rsidRDefault="00B42001" w:rsidP="00B87571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</w:rPr>
            </w:pPr>
            <w:r w:rsidRPr="00B42001">
              <w:rPr>
                <w:rFonts w:ascii="Calibri" w:hAnsi="Calibri" w:cs="Calibri"/>
                <w:sz w:val="28"/>
                <w:szCs w:val="28"/>
              </w:rPr>
              <w:t>2028 Target Value</w:t>
            </w:r>
          </w:p>
        </w:tc>
        <w:tc>
          <w:tcPr>
            <w:tcW w:w="2699" w:type="dxa"/>
            <w:vAlign w:val="bottom"/>
            <w:hideMark/>
          </w:tcPr>
          <w:p w14:paraId="562BC480" w14:textId="77777777" w:rsidR="00B42001" w:rsidRPr="00B42001" w:rsidRDefault="00B42001" w:rsidP="00B87571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</w:rPr>
            </w:pPr>
            <w:r w:rsidRPr="00B42001">
              <w:rPr>
                <w:rFonts w:ascii="Calibri" w:hAnsi="Calibri" w:cs="Calibri"/>
                <w:sz w:val="28"/>
                <w:szCs w:val="28"/>
              </w:rPr>
              <w:t>Data Source</w:t>
            </w:r>
          </w:p>
        </w:tc>
        <w:tc>
          <w:tcPr>
            <w:tcW w:w="0" w:type="auto"/>
            <w:vAlign w:val="bottom"/>
            <w:hideMark/>
          </w:tcPr>
          <w:p w14:paraId="681E4302" w14:textId="77777777" w:rsidR="00B42001" w:rsidRPr="00B42001" w:rsidRDefault="00B42001" w:rsidP="00B87571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</w:rPr>
            </w:pPr>
            <w:r w:rsidRPr="00B42001">
              <w:rPr>
                <w:rFonts w:ascii="Calibri" w:hAnsi="Calibri" w:cs="Calibri"/>
                <w:sz w:val="28"/>
                <w:szCs w:val="28"/>
              </w:rPr>
              <w:t>Monitoring Frequency</w:t>
            </w:r>
          </w:p>
        </w:tc>
      </w:tr>
      <w:tr w:rsidR="00B42001" w:rsidRPr="00B42001" w14:paraId="6F754A6F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7839C4A9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Quality of Education</w:t>
            </w:r>
          </w:p>
        </w:tc>
        <w:tc>
          <w:tcPr>
            <w:tcW w:w="4637" w:type="dxa"/>
            <w:hideMark/>
          </w:tcPr>
          <w:p w14:paraId="5B3A8CB1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PG1.1.1 Rate of accredited graduate programs</w:t>
            </w:r>
          </w:p>
        </w:tc>
        <w:tc>
          <w:tcPr>
            <w:tcW w:w="1349" w:type="dxa"/>
            <w:hideMark/>
          </w:tcPr>
          <w:p w14:paraId="70344188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0,020</w:t>
            </w:r>
          </w:p>
        </w:tc>
        <w:tc>
          <w:tcPr>
            <w:tcW w:w="1203" w:type="dxa"/>
            <w:hideMark/>
          </w:tcPr>
          <w:p w14:paraId="1FC2F971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0,050</w:t>
            </w:r>
          </w:p>
        </w:tc>
        <w:tc>
          <w:tcPr>
            <w:tcW w:w="2699" w:type="dxa"/>
            <w:hideMark/>
          </w:tcPr>
          <w:p w14:paraId="15E8216C" w14:textId="3D8E71A7" w:rsidR="00B42001" w:rsidRPr="00B42001" w:rsidRDefault="002268FF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Institute 2024-2028 Strategic Plan Table 2</w:t>
            </w:r>
          </w:p>
        </w:tc>
        <w:tc>
          <w:tcPr>
            <w:tcW w:w="0" w:type="auto"/>
            <w:hideMark/>
          </w:tcPr>
          <w:p w14:paraId="0556D6A6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57509699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1B58402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4637" w:type="dxa"/>
            <w:hideMark/>
          </w:tcPr>
          <w:p w14:paraId="2B95E19F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PG1.1.5 Number of graduate students per faculty member</w:t>
            </w:r>
          </w:p>
        </w:tc>
        <w:tc>
          <w:tcPr>
            <w:tcW w:w="1349" w:type="dxa"/>
            <w:hideMark/>
          </w:tcPr>
          <w:p w14:paraId="2FFD60A4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4,36</w:t>
            </w:r>
          </w:p>
        </w:tc>
        <w:tc>
          <w:tcPr>
            <w:tcW w:w="1203" w:type="dxa"/>
            <w:hideMark/>
          </w:tcPr>
          <w:p w14:paraId="26712FD3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4,00</w:t>
            </w:r>
          </w:p>
        </w:tc>
        <w:tc>
          <w:tcPr>
            <w:tcW w:w="2699" w:type="dxa"/>
            <w:hideMark/>
          </w:tcPr>
          <w:p w14:paraId="5F4466A0" w14:textId="4353FF9A" w:rsidR="00B42001" w:rsidRPr="00B42001" w:rsidRDefault="002268FF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Institute 2024-2028 Strategic Plan Table 2</w:t>
            </w:r>
          </w:p>
        </w:tc>
        <w:tc>
          <w:tcPr>
            <w:tcW w:w="0" w:type="auto"/>
            <w:hideMark/>
          </w:tcPr>
          <w:p w14:paraId="5E21F212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25E64760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9AE414D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4637" w:type="dxa"/>
            <w:hideMark/>
          </w:tcPr>
          <w:p w14:paraId="3D0BF905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PG1.5.1 Number of master's theses per faculty member</w:t>
            </w:r>
          </w:p>
        </w:tc>
        <w:tc>
          <w:tcPr>
            <w:tcW w:w="1349" w:type="dxa"/>
            <w:hideMark/>
          </w:tcPr>
          <w:p w14:paraId="0F5D0AB0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0,64</w:t>
            </w:r>
          </w:p>
        </w:tc>
        <w:tc>
          <w:tcPr>
            <w:tcW w:w="1203" w:type="dxa"/>
            <w:hideMark/>
          </w:tcPr>
          <w:p w14:paraId="7F6FBB8E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0,75</w:t>
            </w:r>
          </w:p>
        </w:tc>
        <w:tc>
          <w:tcPr>
            <w:tcW w:w="2699" w:type="dxa"/>
            <w:hideMark/>
          </w:tcPr>
          <w:p w14:paraId="7C7B2A92" w14:textId="6F204F3B" w:rsidR="00B42001" w:rsidRPr="00B42001" w:rsidRDefault="002268FF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Institute 2024-2028 Strategic Plan Table 2</w:t>
            </w:r>
          </w:p>
        </w:tc>
        <w:tc>
          <w:tcPr>
            <w:tcW w:w="0" w:type="auto"/>
            <w:hideMark/>
          </w:tcPr>
          <w:p w14:paraId="1C1D2A23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011A80BE" w14:textId="77777777" w:rsidTr="00B42001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E4CEC5E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4637" w:type="dxa"/>
            <w:hideMark/>
          </w:tcPr>
          <w:p w14:paraId="3814985B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PG2.4.1 Student satisfaction level</w:t>
            </w:r>
          </w:p>
        </w:tc>
        <w:tc>
          <w:tcPr>
            <w:tcW w:w="1349" w:type="dxa"/>
            <w:hideMark/>
          </w:tcPr>
          <w:p w14:paraId="0925BC78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0,85</w:t>
            </w:r>
          </w:p>
        </w:tc>
        <w:tc>
          <w:tcPr>
            <w:tcW w:w="1203" w:type="dxa"/>
            <w:hideMark/>
          </w:tcPr>
          <w:p w14:paraId="07BC002B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0,90</w:t>
            </w:r>
          </w:p>
        </w:tc>
        <w:tc>
          <w:tcPr>
            <w:tcW w:w="2699" w:type="dxa"/>
            <w:hideMark/>
          </w:tcPr>
          <w:p w14:paraId="525F2A6A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Course Evaluation Questionnaire</w:t>
            </w:r>
          </w:p>
        </w:tc>
        <w:tc>
          <w:tcPr>
            <w:tcW w:w="0" w:type="auto"/>
            <w:hideMark/>
          </w:tcPr>
          <w:p w14:paraId="27EB1893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Session</w:t>
            </w:r>
          </w:p>
        </w:tc>
      </w:tr>
      <w:tr w:rsidR="00B42001" w:rsidRPr="00B42001" w14:paraId="4F248E76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70C9BB7B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Ethical Values and Academic Integrity</w:t>
            </w:r>
          </w:p>
        </w:tc>
        <w:tc>
          <w:tcPr>
            <w:tcW w:w="4637" w:type="dxa"/>
            <w:hideMark/>
          </w:tcPr>
          <w:p w14:paraId="062A6250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Rate of ethical violation cases (according to total students)</w:t>
            </w:r>
          </w:p>
        </w:tc>
        <w:tc>
          <w:tcPr>
            <w:tcW w:w="1349" w:type="dxa"/>
            <w:hideMark/>
          </w:tcPr>
          <w:p w14:paraId="230A430C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0</w:t>
            </w:r>
          </w:p>
        </w:tc>
        <w:tc>
          <w:tcPr>
            <w:tcW w:w="1203" w:type="dxa"/>
            <w:hideMark/>
          </w:tcPr>
          <w:p w14:paraId="5BBAEEBC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0</w:t>
            </w:r>
          </w:p>
        </w:tc>
        <w:tc>
          <w:tcPr>
            <w:tcW w:w="2699" w:type="dxa"/>
            <w:hideMark/>
          </w:tcPr>
          <w:p w14:paraId="2D659829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Internal Audit Reports</w:t>
            </w:r>
          </w:p>
        </w:tc>
        <w:tc>
          <w:tcPr>
            <w:tcW w:w="0" w:type="auto"/>
            <w:hideMark/>
          </w:tcPr>
          <w:p w14:paraId="2D8B2C05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436E82BC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6DEC80A2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Internationalization</w:t>
            </w:r>
          </w:p>
        </w:tc>
        <w:tc>
          <w:tcPr>
            <w:tcW w:w="4637" w:type="dxa"/>
            <w:hideMark/>
          </w:tcPr>
          <w:p w14:paraId="250FB513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PG2.3.2 Number of students from international exchange programs</w:t>
            </w:r>
          </w:p>
        </w:tc>
        <w:tc>
          <w:tcPr>
            <w:tcW w:w="1349" w:type="dxa"/>
            <w:hideMark/>
          </w:tcPr>
          <w:p w14:paraId="66A254DE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2</w:t>
            </w:r>
          </w:p>
        </w:tc>
        <w:tc>
          <w:tcPr>
            <w:tcW w:w="1203" w:type="dxa"/>
            <w:hideMark/>
          </w:tcPr>
          <w:p w14:paraId="7C9EC6F9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10</w:t>
            </w:r>
          </w:p>
        </w:tc>
        <w:tc>
          <w:tcPr>
            <w:tcW w:w="2699" w:type="dxa"/>
            <w:hideMark/>
          </w:tcPr>
          <w:p w14:paraId="72444819" w14:textId="38BB62E6" w:rsidR="00B42001" w:rsidRPr="00B42001" w:rsidRDefault="002268FF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Institute 2024-2028 Strategic Plan Table 2</w:t>
            </w:r>
          </w:p>
        </w:tc>
        <w:tc>
          <w:tcPr>
            <w:tcW w:w="0" w:type="auto"/>
            <w:hideMark/>
          </w:tcPr>
          <w:p w14:paraId="408EDAD9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38EF31C8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19A4037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4637" w:type="dxa"/>
            <w:hideMark/>
          </w:tcPr>
          <w:p w14:paraId="159E3043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PG1.2.3 Number of international students</w:t>
            </w:r>
          </w:p>
        </w:tc>
        <w:tc>
          <w:tcPr>
            <w:tcW w:w="1349" w:type="dxa"/>
            <w:hideMark/>
          </w:tcPr>
          <w:p w14:paraId="70AE293E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17</w:t>
            </w:r>
          </w:p>
        </w:tc>
        <w:tc>
          <w:tcPr>
            <w:tcW w:w="1203" w:type="dxa"/>
            <w:hideMark/>
          </w:tcPr>
          <w:p w14:paraId="64712FFC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25</w:t>
            </w:r>
          </w:p>
        </w:tc>
        <w:tc>
          <w:tcPr>
            <w:tcW w:w="2699" w:type="dxa"/>
            <w:hideMark/>
          </w:tcPr>
          <w:p w14:paraId="654AD3E6" w14:textId="032DE376" w:rsidR="00B42001" w:rsidRPr="00B42001" w:rsidRDefault="002268FF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Institute 2024-2028 Strategic Plan Table 2</w:t>
            </w:r>
          </w:p>
        </w:tc>
        <w:tc>
          <w:tcPr>
            <w:tcW w:w="0" w:type="auto"/>
            <w:hideMark/>
          </w:tcPr>
          <w:p w14:paraId="02B01A57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1D6D12A4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B5585A6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4637" w:type="dxa"/>
            <w:hideMark/>
          </w:tcPr>
          <w:p w14:paraId="2AF5006E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Number of international joint projects</w:t>
            </w:r>
          </w:p>
        </w:tc>
        <w:tc>
          <w:tcPr>
            <w:tcW w:w="1349" w:type="dxa"/>
            <w:hideMark/>
          </w:tcPr>
          <w:p w14:paraId="141E4E9C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1</w:t>
            </w:r>
          </w:p>
        </w:tc>
        <w:tc>
          <w:tcPr>
            <w:tcW w:w="1203" w:type="dxa"/>
            <w:hideMark/>
          </w:tcPr>
          <w:p w14:paraId="69BA778F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5</w:t>
            </w:r>
          </w:p>
        </w:tc>
        <w:tc>
          <w:tcPr>
            <w:tcW w:w="2699" w:type="dxa"/>
            <w:hideMark/>
          </w:tcPr>
          <w:p w14:paraId="31898E54" w14:textId="33034584" w:rsidR="00B42001" w:rsidRPr="00B42001" w:rsidRDefault="002268FF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Institute 2024-2028 Strategic Plan Table 2</w:t>
            </w:r>
          </w:p>
        </w:tc>
        <w:tc>
          <w:tcPr>
            <w:tcW w:w="0" w:type="auto"/>
            <w:hideMark/>
          </w:tcPr>
          <w:p w14:paraId="0525FD24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564A20B9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1C2AD083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Research and Development</w:t>
            </w:r>
          </w:p>
        </w:tc>
        <w:tc>
          <w:tcPr>
            <w:tcW w:w="4637" w:type="dxa"/>
            <w:hideMark/>
          </w:tcPr>
          <w:p w14:paraId="318E01EA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PG1.5.2 Number of theses conducted with external collaboration</w:t>
            </w:r>
          </w:p>
        </w:tc>
        <w:tc>
          <w:tcPr>
            <w:tcW w:w="1349" w:type="dxa"/>
            <w:hideMark/>
          </w:tcPr>
          <w:p w14:paraId="2FEC3D0F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19</w:t>
            </w:r>
          </w:p>
        </w:tc>
        <w:tc>
          <w:tcPr>
            <w:tcW w:w="1203" w:type="dxa"/>
            <w:hideMark/>
          </w:tcPr>
          <w:p w14:paraId="14EF3421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25</w:t>
            </w:r>
          </w:p>
        </w:tc>
        <w:tc>
          <w:tcPr>
            <w:tcW w:w="2699" w:type="dxa"/>
            <w:hideMark/>
          </w:tcPr>
          <w:p w14:paraId="37AF9B00" w14:textId="4017AB4C" w:rsidR="00B42001" w:rsidRPr="00B42001" w:rsidRDefault="002268FF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Institute 2024-2028 Strategic Plan Table 2</w:t>
            </w:r>
          </w:p>
        </w:tc>
        <w:tc>
          <w:tcPr>
            <w:tcW w:w="0" w:type="auto"/>
            <w:hideMark/>
          </w:tcPr>
          <w:p w14:paraId="66DA0DA3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665CBA57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4D6325E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4637" w:type="dxa"/>
            <w:hideMark/>
          </w:tcPr>
          <w:p w14:paraId="58574632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Number of new interdisciplinary programs</w:t>
            </w:r>
          </w:p>
        </w:tc>
        <w:tc>
          <w:tcPr>
            <w:tcW w:w="1349" w:type="dxa"/>
            <w:hideMark/>
          </w:tcPr>
          <w:p w14:paraId="272CC45B" w14:textId="6CDC55D1" w:rsidR="00B42001" w:rsidRPr="00B42001" w:rsidRDefault="002268FF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03" w:type="dxa"/>
            <w:hideMark/>
          </w:tcPr>
          <w:p w14:paraId="7B75A8E1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5</w:t>
            </w:r>
          </w:p>
        </w:tc>
        <w:tc>
          <w:tcPr>
            <w:tcW w:w="2699" w:type="dxa"/>
            <w:hideMark/>
          </w:tcPr>
          <w:p w14:paraId="6BDCA710" w14:textId="6E04EB7B" w:rsidR="00B42001" w:rsidRPr="00B42001" w:rsidRDefault="002268FF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Institute 2024-2028 Strategic Plan Table 2</w:t>
            </w:r>
          </w:p>
        </w:tc>
        <w:tc>
          <w:tcPr>
            <w:tcW w:w="0" w:type="auto"/>
            <w:hideMark/>
          </w:tcPr>
          <w:p w14:paraId="0B01FD3D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2A598A3D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0E6589C1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Social Contribution and Stakeholder Communication</w:t>
            </w:r>
          </w:p>
        </w:tc>
        <w:tc>
          <w:tcPr>
            <w:tcW w:w="4637" w:type="dxa"/>
            <w:hideMark/>
          </w:tcPr>
          <w:p w14:paraId="68626509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PG1.4.1 Number of scientific/social activities</w:t>
            </w:r>
          </w:p>
        </w:tc>
        <w:tc>
          <w:tcPr>
            <w:tcW w:w="1349" w:type="dxa"/>
            <w:hideMark/>
          </w:tcPr>
          <w:p w14:paraId="21CB05C1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5</w:t>
            </w:r>
          </w:p>
        </w:tc>
        <w:tc>
          <w:tcPr>
            <w:tcW w:w="1203" w:type="dxa"/>
            <w:hideMark/>
          </w:tcPr>
          <w:p w14:paraId="04A87DC8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10</w:t>
            </w:r>
          </w:p>
        </w:tc>
        <w:tc>
          <w:tcPr>
            <w:tcW w:w="2699" w:type="dxa"/>
            <w:hideMark/>
          </w:tcPr>
          <w:p w14:paraId="4EEE0BC4" w14:textId="74C2B7D1" w:rsidR="00B42001" w:rsidRPr="00B42001" w:rsidRDefault="002268FF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Institute 2024-2028 Strategic Plan Table 2</w:t>
            </w:r>
          </w:p>
        </w:tc>
        <w:tc>
          <w:tcPr>
            <w:tcW w:w="0" w:type="auto"/>
            <w:hideMark/>
          </w:tcPr>
          <w:p w14:paraId="1D463B31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668DFED9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8190BEB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4637" w:type="dxa"/>
            <w:hideMark/>
          </w:tcPr>
          <w:p w14:paraId="03EB1456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PG2.4.5 Number of information events for internal and external stakeholders</w:t>
            </w:r>
          </w:p>
        </w:tc>
        <w:tc>
          <w:tcPr>
            <w:tcW w:w="1349" w:type="dxa"/>
            <w:hideMark/>
          </w:tcPr>
          <w:p w14:paraId="6C77D22C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10</w:t>
            </w:r>
          </w:p>
        </w:tc>
        <w:tc>
          <w:tcPr>
            <w:tcW w:w="1203" w:type="dxa"/>
            <w:hideMark/>
          </w:tcPr>
          <w:p w14:paraId="4BC6E542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20</w:t>
            </w:r>
          </w:p>
        </w:tc>
        <w:tc>
          <w:tcPr>
            <w:tcW w:w="2699" w:type="dxa"/>
            <w:hideMark/>
          </w:tcPr>
          <w:p w14:paraId="2855F7CF" w14:textId="68A854CA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Strategic Plan Table 2</w:t>
            </w:r>
          </w:p>
        </w:tc>
        <w:tc>
          <w:tcPr>
            <w:tcW w:w="0" w:type="auto"/>
            <w:hideMark/>
          </w:tcPr>
          <w:p w14:paraId="05108A15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2443B926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076C603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4637" w:type="dxa"/>
            <w:hideMark/>
          </w:tcPr>
          <w:p w14:paraId="1797529C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Alumni satisfaction level</w:t>
            </w:r>
          </w:p>
        </w:tc>
        <w:tc>
          <w:tcPr>
            <w:tcW w:w="1349" w:type="dxa"/>
            <w:hideMark/>
          </w:tcPr>
          <w:p w14:paraId="2348E558" w14:textId="3F42D126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03" w:type="dxa"/>
            <w:hideMark/>
          </w:tcPr>
          <w:p w14:paraId="3E931D10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0,90</w:t>
            </w:r>
          </w:p>
        </w:tc>
        <w:tc>
          <w:tcPr>
            <w:tcW w:w="2699" w:type="dxa"/>
            <w:hideMark/>
          </w:tcPr>
          <w:p w14:paraId="2CCEBC37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Alumni Survey</w:t>
            </w:r>
          </w:p>
        </w:tc>
        <w:tc>
          <w:tcPr>
            <w:tcW w:w="0" w:type="auto"/>
            <w:hideMark/>
          </w:tcPr>
          <w:p w14:paraId="121755D0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611FDF4D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55229D34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Management and Quality Assurance</w:t>
            </w:r>
          </w:p>
        </w:tc>
        <w:tc>
          <w:tcPr>
            <w:tcW w:w="4637" w:type="dxa"/>
            <w:hideMark/>
          </w:tcPr>
          <w:p w14:paraId="2BF5A8C9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PG2.2.1 Number of process improvement studies</w:t>
            </w:r>
          </w:p>
        </w:tc>
        <w:tc>
          <w:tcPr>
            <w:tcW w:w="1349" w:type="dxa"/>
            <w:hideMark/>
          </w:tcPr>
          <w:p w14:paraId="0A58F925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10</w:t>
            </w:r>
          </w:p>
        </w:tc>
        <w:tc>
          <w:tcPr>
            <w:tcW w:w="1203" w:type="dxa"/>
            <w:hideMark/>
          </w:tcPr>
          <w:p w14:paraId="125AB6EB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24</w:t>
            </w:r>
          </w:p>
        </w:tc>
        <w:tc>
          <w:tcPr>
            <w:tcW w:w="2699" w:type="dxa"/>
            <w:hideMark/>
          </w:tcPr>
          <w:p w14:paraId="3D280ADF" w14:textId="04C1A342" w:rsidR="00B42001" w:rsidRPr="00B42001" w:rsidRDefault="002268FF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Institute 2024-2028 Strategic Plan Table 2</w:t>
            </w:r>
          </w:p>
        </w:tc>
        <w:tc>
          <w:tcPr>
            <w:tcW w:w="0" w:type="auto"/>
            <w:hideMark/>
          </w:tcPr>
          <w:p w14:paraId="4435DB03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  <w:tr w:rsidR="00B42001" w:rsidRPr="00B42001" w14:paraId="6D2D0F77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EC66551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4637" w:type="dxa"/>
            <w:hideMark/>
          </w:tcPr>
          <w:p w14:paraId="3C298DD2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PG2.2.2 Improvement activities carried out by the quality commission</w:t>
            </w:r>
          </w:p>
        </w:tc>
        <w:tc>
          <w:tcPr>
            <w:tcW w:w="1349" w:type="dxa"/>
            <w:hideMark/>
          </w:tcPr>
          <w:p w14:paraId="21329060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10</w:t>
            </w:r>
          </w:p>
        </w:tc>
        <w:tc>
          <w:tcPr>
            <w:tcW w:w="1203" w:type="dxa"/>
            <w:hideMark/>
          </w:tcPr>
          <w:p w14:paraId="2BD9799C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20</w:t>
            </w:r>
          </w:p>
        </w:tc>
        <w:tc>
          <w:tcPr>
            <w:tcW w:w="2699" w:type="dxa"/>
            <w:hideMark/>
          </w:tcPr>
          <w:p w14:paraId="511B1B21" w14:textId="1DCEEAC7" w:rsidR="00B42001" w:rsidRPr="00B42001" w:rsidRDefault="002268FF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Institute 2024-2028 Strategic Plan Table 2</w:t>
            </w:r>
          </w:p>
        </w:tc>
        <w:tc>
          <w:tcPr>
            <w:tcW w:w="0" w:type="auto"/>
            <w:hideMark/>
          </w:tcPr>
          <w:p w14:paraId="17ECA971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6 Months</w:t>
            </w:r>
          </w:p>
        </w:tc>
      </w:tr>
      <w:tr w:rsidR="00B42001" w:rsidRPr="00B42001" w14:paraId="3195C592" w14:textId="77777777" w:rsidTr="00B4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4B74A01" w14:textId="77777777" w:rsidR="00B42001" w:rsidRPr="00B42001" w:rsidRDefault="00B42001" w:rsidP="00C82733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4637" w:type="dxa"/>
            <w:hideMark/>
          </w:tcPr>
          <w:p w14:paraId="369EF948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Administrative staff satisfaction level</w:t>
            </w:r>
          </w:p>
        </w:tc>
        <w:tc>
          <w:tcPr>
            <w:tcW w:w="1349" w:type="dxa"/>
            <w:hideMark/>
          </w:tcPr>
          <w:p w14:paraId="0BCE0ECF" w14:textId="0AC31489" w:rsidR="00B42001" w:rsidRPr="00B42001" w:rsidRDefault="002268FF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03" w:type="dxa"/>
            <w:hideMark/>
          </w:tcPr>
          <w:p w14:paraId="7B1AD1E5" w14:textId="77777777" w:rsidR="00B42001" w:rsidRPr="00B42001" w:rsidRDefault="00B42001" w:rsidP="00B42001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0,90</w:t>
            </w:r>
          </w:p>
        </w:tc>
        <w:tc>
          <w:tcPr>
            <w:tcW w:w="2699" w:type="dxa"/>
            <w:hideMark/>
          </w:tcPr>
          <w:p w14:paraId="4EF32EF5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Administrative Staff Survey</w:t>
            </w:r>
          </w:p>
        </w:tc>
        <w:tc>
          <w:tcPr>
            <w:tcW w:w="0" w:type="auto"/>
            <w:hideMark/>
          </w:tcPr>
          <w:p w14:paraId="625D5514" w14:textId="77777777" w:rsidR="00B42001" w:rsidRPr="00B42001" w:rsidRDefault="00B42001" w:rsidP="00C8273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42001">
              <w:rPr>
                <w:rFonts w:ascii="Calibri" w:hAnsi="Calibri" w:cs="Calibri"/>
              </w:rPr>
              <w:t>Annual</w:t>
            </w:r>
          </w:p>
        </w:tc>
      </w:tr>
    </w:tbl>
    <w:p w14:paraId="685CC818" w14:textId="52D34383" w:rsidR="00B42001" w:rsidRDefault="00B42001"/>
    <w:sectPr w:rsidR="00B42001" w:rsidSect="00B420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01"/>
    <w:rsid w:val="002268FF"/>
    <w:rsid w:val="00310778"/>
    <w:rsid w:val="00957B80"/>
    <w:rsid w:val="00B42001"/>
    <w:rsid w:val="00B87571"/>
    <w:rsid w:val="00C14022"/>
    <w:rsid w:val="00D50E5D"/>
    <w:rsid w:val="00D57300"/>
    <w:rsid w:val="00DA1D9E"/>
    <w:rsid w:val="00DA2F72"/>
    <w:rsid w:val="00D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F0FD"/>
  <w15:chartTrackingRefBased/>
  <w15:docId w15:val="{8296E7B9-6967-4C54-AAAB-B377E301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42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4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2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2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2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2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2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2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42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2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20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20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20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20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20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20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2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2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2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20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20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20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20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2001"/>
    <w:rPr>
      <w:b/>
      <w:bCs/>
      <w:smallCaps/>
      <w:color w:val="0F4761" w:themeColor="accent1" w:themeShade="BF"/>
      <w:spacing w:val="5"/>
    </w:rPr>
  </w:style>
  <w:style w:type="table" w:styleId="DzTablo4">
    <w:name w:val="Plain Table 4"/>
    <w:basedOn w:val="NormalTablo"/>
    <w:uiPriority w:val="44"/>
    <w:rsid w:val="00B420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uTablo4-Vurgu1">
    <w:name w:val="Grid Table 4 Accent 1"/>
    <w:basedOn w:val="NormalTablo"/>
    <w:uiPriority w:val="49"/>
    <w:rsid w:val="00B4200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YerTutucuMetni">
    <w:name w:val="Placeholder Text"/>
    <w:basedOn w:val="VarsaylanParagrafYazTipi"/>
    <w:uiPriority w:val="99"/>
    <w:semiHidden/>
    <w:rsid w:val="00DA2F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5E27E-AFE6-4ED8-BDCF-08AF2B34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Korhan Günel</dc:creator>
  <cp:keywords/>
  <dc:description/>
  <cp:lastModifiedBy>Korhan Günel</cp:lastModifiedBy>
  <cp:revision>1</cp:revision>
  <dcterms:created xsi:type="dcterms:W3CDTF">2025-11-04T07:02:00Z</dcterms:created>
  <dcterms:modified xsi:type="dcterms:W3CDTF">2025-11-24T07:30:00Z</dcterms:modified>
</cp:coreProperties>
</file>